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1" w:rsidRDefault="00D901F1" w:rsidP="00D901F1">
      <w:pPr>
        <w:spacing w:after="160" w:line="259" w:lineRule="auto"/>
        <w:rPr>
          <w:rFonts w:ascii="Verdana" w:eastAsia="Times New Roman" w:hAnsi="Verdana"/>
          <w:color w:val="495A6E"/>
          <w:kern w:val="36"/>
          <w:sz w:val="36"/>
          <w:szCs w:val="36"/>
          <w:lang w:val="en-US" w:eastAsia="ja-JP"/>
        </w:rPr>
      </w:pPr>
      <w:bookmarkStart w:id="0" w:name="_GoBack"/>
      <w:bookmarkEnd w:id="0"/>
    </w:p>
    <w:p w:rsidR="00D901F1" w:rsidRDefault="00D901F1" w:rsidP="00D901F1">
      <w:pPr>
        <w:spacing w:after="160" w:line="259" w:lineRule="auto"/>
        <w:rPr>
          <w:rFonts w:ascii="Verdana" w:eastAsia="Times New Roman" w:hAnsi="Verdana"/>
          <w:color w:val="495A6E"/>
          <w:kern w:val="36"/>
          <w:sz w:val="36"/>
          <w:szCs w:val="36"/>
          <w:lang w:val="en-US" w:eastAsia="ja-JP"/>
        </w:rPr>
      </w:pPr>
    </w:p>
    <w:p w:rsidR="00D901F1" w:rsidRPr="00D901F1" w:rsidRDefault="00D901F1" w:rsidP="00D901F1">
      <w:p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 xml:space="preserve">CONTENTS </w:t>
      </w:r>
    </w:p>
    <w:p w:rsidR="00D901F1" w:rsidRPr="00D901F1" w:rsidRDefault="00D901F1" w:rsidP="00D901F1">
      <w:pPr>
        <w:spacing w:after="160" w:line="259" w:lineRule="auto"/>
        <w:rPr>
          <w:b/>
          <w:color w:val="auto"/>
          <w:sz w:val="36"/>
          <w:szCs w:val="36"/>
        </w:rPr>
      </w:pPr>
    </w:p>
    <w:p w:rsidR="00D901F1" w:rsidRPr="00D901F1" w:rsidRDefault="00D901F1" w:rsidP="00D901F1">
      <w:pPr>
        <w:pStyle w:val="ListParagraph"/>
        <w:numPr>
          <w:ilvl w:val="0"/>
          <w:numId w:val="42"/>
        </w:num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>Introduction</w:t>
      </w:r>
    </w:p>
    <w:p w:rsidR="00D901F1" w:rsidRPr="00D901F1" w:rsidRDefault="00D901F1" w:rsidP="00D901F1">
      <w:pPr>
        <w:pStyle w:val="ListParagraph"/>
        <w:numPr>
          <w:ilvl w:val="0"/>
          <w:numId w:val="42"/>
        </w:num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 xml:space="preserve">Background </w:t>
      </w:r>
    </w:p>
    <w:p w:rsidR="00D901F1" w:rsidRPr="00D901F1" w:rsidRDefault="00D901F1" w:rsidP="00D901F1">
      <w:pPr>
        <w:pStyle w:val="ListParagraph"/>
        <w:numPr>
          <w:ilvl w:val="0"/>
          <w:numId w:val="42"/>
        </w:num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>Objective</w:t>
      </w:r>
    </w:p>
    <w:p w:rsidR="00D901F1" w:rsidRPr="00D901F1" w:rsidRDefault="00D901F1" w:rsidP="00D901F1">
      <w:pPr>
        <w:pStyle w:val="ListParagraph"/>
        <w:numPr>
          <w:ilvl w:val="0"/>
          <w:numId w:val="42"/>
        </w:num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>Philosophy of the Policy</w:t>
      </w:r>
    </w:p>
    <w:p w:rsidR="00D901F1" w:rsidRPr="00D901F1" w:rsidRDefault="00D901F1" w:rsidP="00D901F1">
      <w:pPr>
        <w:pStyle w:val="ListParagraph"/>
        <w:numPr>
          <w:ilvl w:val="0"/>
          <w:numId w:val="42"/>
        </w:num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 xml:space="preserve">Principles guiding Dividend Decision </w:t>
      </w:r>
    </w:p>
    <w:p w:rsidR="00D901F1" w:rsidRPr="00D901F1" w:rsidRDefault="00D901F1" w:rsidP="00D901F1">
      <w:pPr>
        <w:pStyle w:val="ListParagraph"/>
        <w:numPr>
          <w:ilvl w:val="0"/>
          <w:numId w:val="42"/>
        </w:num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 xml:space="preserve">Process for declaration of Dividend </w:t>
      </w:r>
    </w:p>
    <w:p w:rsidR="00D901F1" w:rsidRPr="00D901F1" w:rsidRDefault="00D901F1" w:rsidP="00D901F1">
      <w:pPr>
        <w:pStyle w:val="ListParagraph"/>
        <w:numPr>
          <w:ilvl w:val="0"/>
          <w:numId w:val="42"/>
        </w:numPr>
        <w:spacing w:after="160" w:line="259" w:lineRule="auto"/>
        <w:rPr>
          <w:b/>
          <w:color w:val="auto"/>
          <w:sz w:val="36"/>
          <w:szCs w:val="36"/>
        </w:rPr>
      </w:pPr>
      <w:r w:rsidRPr="00D901F1">
        <w:rPr>
          <w:b/>
          <w:color w:val="auto"/>
          <w:sz w:val="36"/>
          <w:szCs w:val="36"/>
        </w:rPr>
        <w:t>Amendment</w:t>
      </w:r>
    </w:p>
    <w:p w:rsidR="00D901F1" w:rsidRDefault="00D901F1" w:rsidP="00D901F1">
      <w:pPr>
        <w:spacing w:after="160" w:line="259" w:lineRule="auto"/>
        <w:ind w:left="360"/>
        <w:rPr>
          <w:rFonts w:ascii="Verdana" w:eastAsia="Times New Roman" w:hAnsi="Verdana"/>
          <w:color w:val="495A6E"/>
          <w:kern w:val="36"/>
          <w:sz w:val="36"/>
          <w:szCs w:val="36"/>
          <w:lang w:val="en-US" w:eastAsia="ja-JP"/>
        </w:rPr>
      </w:pPr>
    </w:p>
    <w:p w:rsidR="00D901F1" w:rsidRDefault="00D901F1" w:rsidP="00D901F1">
      <w:pPr>
        <w:spacing w:after="160" w:line="259" w:lineRule="auto"/>
        <w:ind w:left="360"/>
        <w:rPr>
          <w:rFonts w:ascii="Verdana" w:eastAsia="Times New Roman" w:hAnsi="Verdana"/>
          <w:color w:val="495A6E"/>
          <w:kern w:val="36"/>
          <w:sz w:val="36"/>
          <w:szCs w:val="36"/>
          <w:lang w:val="en-US" w:eastAsia="ja-JP"/>
        </w:rPr>
      </w:pPr>
    </w:p>
    <w:p w:rsidR="00D901F1" w:rsidRDefault="00D901F1" w:rsidP="00D901F1">
      <w:pPr>
        <w:spacing w:after="160" w:line="259" w:lineRule="auto"/>
        <w:ind w:left="360"/>
        <w:rPr>
          <w:rFonts w:ascii="Verdana" w:eastAsia="Times New Roman" w:hAnsi="Verdana"/>
          <w:color w:val="495A6E"/>
          <w:kern w:val="36"/>
          <w:sz w:val="36"/>
          <w:szCs w:val="36"/>
          <w:lang w:val="en-US" w:eastAsia="ja-JP"/>
        </w:rPr>
      </w:pPr>
    </w:p>
    <w:p w:rsidR="00D901F1" w:rsidRDefault="00D901F1" w:rsidP="00D901F1">
      <w:pPr>
        <w:spacing w:after="160" w:line="259" w:lineRule="auto"/>
        <w:ind w:left="360"/>
        <w:rPr>
          <w:rFonts w:ascii="Verdana" w:eastAsia="Times New Roman" w:hAnsi="Verdana"/>
          <w:color w:val="495A6E"/>
          <w:kern w:val="36"/>
          <w:sz w:val="36"/>
          <w:szCs w:val="36"/>
          <w:lang w:val="en-US" w:eastAsia="ja-JP"/>
        </w:rPr>
      </w:pPr>
    </w:p>
    <w:p w:rsidR="00D901F1" w:rsidRDefault="00D901F1" w:rsidP="00D901F1">
      <w:pPr>
        <w:spacing w:after="160" w:line="259" w:lineRule="auto"/>
        <w:ind w:left="360"/>
        <w:rPr>
          <w:rFonts w:ascii="Verdana" w:eastAsia="Times New Roman" w:hAnsi="Verdana"/>
          <w:color w:val="495A6E"/>
          <w:kern w:val="36"/>
          <w:sz w:val="36"/>
          <w:szCs w:val="36"/>
          <w:lang w:val="en-US" w:eastAsia="ja-JP"/>
        </w:rPr>
      </w:pPr>
    </w:p>
    <w:p w:rsidR="00D901F1" w:rsidRDefault="00D901F1" w:rsidP="00D901F1">
      <w:pPr>
        <w:spacing w:after="160" w:line="259" w:lineRule="auto"/>
        <w:ind w:left="360"/>
      </w:pPr>
    </w:p>
    <w:p w:rsidR="00D901F1" w:rsidRDefault="00D901F1" w:rsidP="00D901F1">
      <w:pPr>
        <w:spacing w:after="160" w:line="259" w:lineRule="auto"/>
        <w:ind w:left="3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489B" wp14:editId="11643C73">
                <wp:simplePos x="0" y="0"/>
                <wp:positionH relativeFrom="column">
                  <wp:posOffset>2444750</wp:posOffset>
                </wp:positionH>
                <wp:positionV relativeFrom="paragraph">
                  <wp:posOffset>12700</wp:posOffset>
                </wp:positionV>
                <wp:extent cx="2762250" cy="1571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19A86" id="Rectangle 1" o:spid="_x0000_s1026" style="position:absolute;margin-left:192.5pt;margin-top:1pt;width:217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" filled="f" strokecolor="black [3213]" strokeweight="1pt">
                <v:textbox inset="4mm,4mm,4mm,4mm"/>
              </v:rect>
            </w:pict>
          </mc:Fallback>
        </mc:AlternateContent>
      </w:r>
    </w:p>
    <w:p w:rsidR="00D901F1" w:rsidRPr="00D901F1" w:rsidRDefault="00D901F1" w:rsidP="00D901F1">
      <w:pPr>
        <w:spacing w:after="160" w:line="259" w:lineRule="auto"/>
        <w:ind w:left="3960" w:firstLine="360"/>
        <w:rPr>
          <w:color w:val="auto"/>
        </w:rPr>
      </w:pPr>
      <w:r w:rsidRPr="00D901F1">
        <w:rPr>
          <w:color w:val="auto"/>
        </w:rPr>
        <w:t xml:space="preserve">Approved by: </w:t>
      </w:r>
      <w:r w:rsidRPr="00D901F1">
        <w:rPr>
          <w:color w:val="auto"/>
        </w:rPr>
        <w:tab/>
        <w:t xml:space="preserve">Board of Director </w:t>
      </w:r>
    </w:p>
    <w:p w:rsidR="00D901F1" w:rsidRPr="00D901F1" w:rsidRDefault="00D901F1" w:rsidP="00D901F1">
      <w:pPr>
        <w:spacing w:after="160" w:line="259" w:lineRule="auto"/>
        <w:ind w:left="5040" w:firstLine="720"/>
        <w:rPr>
          <w:color w:val="auto"/>
        </w:rPr>
      </w:pPr>
      <w:r w:rsidRPr="00D901F1">
        <w:rPr>
          <w:color w:val="auto"/>
        </w:rPr>
        <w:t>SKF India Limited</w:t>
      </w:r>
    </w:p>
    <w:p w:rsidR="00D901F1" w:rsidRPr="00D901F1" w:rsidRDefault="00D901F1" w:rsidP="00D901F1">
      <w:pPr>
        <w:spacing w:after="160" w:line="259" w:lineRule="auto"/>
        <w:ind w:left="1440" w:firstLine="720"/>
        <w:rPr>
          <w:color w:val="auto"/>
        </w:rPr>
      </w:pPr>
    </w:p>
    <w:p w:rsidR="00D901F1" w:rsidRDefault="00D901F1" w:rsidP="00D901F1">
      <w:pPr>
        <w:spacing w:after="160" w:line="259" w:lineRule="auto"/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</w:pPr>
      <w:r w:rsidRPr="00D901F1">
        <w:rPr>
          <w:color w:val="auto"/>
        </w:rPr>
        <w:t xml:space="preserve">      </w:t>
      </w:r>
      <w:r w:rsidRPr="00D901F1">
        <w:rPr>
          <w:color w:val="auto"/>
        </w:rPr>
        <w:tab/>
      </w:r>
      <w:r w:rsidRPr="00D901F1">
        <w:rPr>
          <w:color w:val="auto"/>
        </w:rPr>
        <w:tab/>
      </w:r>
      <w:r w:rsidRPr="00D901F1">
        <w:rPr>
          <w:color w:val="auto"/>
        </w:rPr>
        <w:tab/>
      </w:r>
      <w:r w:rsidRPr="00D901F1">
        <w:rPr>
          <w:color w:val="auto"/>
        </w:rPr>
        <w:tab/>
      </w:r>
      <w:r w:rsidRPr="00D901F1">
        <w:rPr>
          <w:color w:val="auto"/>
        </w:rPr>
        <w:tab/>
      </w:r>
      <w:r w:rsidRPr="00D901F1">
        <w:rPr>
          <w:color w:val="auto"/>
        </w:rPr>
        <w:tab/>
        <w:t>Approved on:   13 February 2017</w:t>
      </w:r>
    </w:p>
    <w:p w:rsidR="00D901F1" w:rsidRDefault="00D901F1">
      <w:pPr>
        <w:spacing w:after="160" w:line="259" w:lineRule="auto"/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</w:pPr>
      <w:r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br w:type="page"/>
      </w:r>
    </w:p>
    <w:p w:rsidR="00C86FA2" w:rsidRPr="00D901F1" w:rsidRDefault="00C86FA2" w:rsidP="00D901F1">
      <w:pPr>
        <w:pStyle w:val="ListParagraph"/>
        <w:numPr>
          <w:ilvl w:val="0"/>
          <w:numId w:val="45"/>
        </w:num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</w:pPr>
      <w:r w:rsidRPr="00D901F1"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lastRenderedPageBreak/>
        <w:t xml:space="preserve">Introduction </w:t>
      </w:r>
    </w:p>
    <w:p w:rsidR="00C86FA2" w:rsidRPr="00C86FA2" w:rsidRDefault="00C86FA2" w:rsidP="005956CF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 w:rsidRPr="00C86FA2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This Policy is called SKF India Limited – Dividend Distribution Policy </w:t>
      </w:r>
      <w:proofErr w:type="gramStart"/>
      <w:r w:rsidRPr="00C86FA2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( hereinafter</w:t>
      </w:r>
      <w:proofErr w:type="gramEnd"/>
      <w:r w:rsidRPr="00C86FA2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 referred to as ‘this policy” ) and shall be effective from 13</w:t>
      </w:r>
      <w:r w:rsidRPr="00C86FA2">
        <w:rPr>
          <w:rFonts w:ascii="Verdana" w:eastAsia="Times New Roman" w:hAnsi="Verdana"/>
          <w:color w:val="495A6E"/>
          <w:kern w:val="36"/>
          <w:sz w:val="28"/>
          <w:szCs w:val="28"/>
          <w:vertAlign w:val="superscript"/>
          <w:lang w:val="en-US" w:eastAsia="ja-JP"/>
        </w:rPr>
        <w:t>th</w:t>
      </w:r>
      <w:r w:rsidRPr="00C86FA2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 February, 2017 ( Effective Date )</w:t>
      </w:r>
    </w:p>
    <w:p w:rsidR="001513C6" w:rsidRPr="00D901F1" w:rsidRDefault="00C86FA2" w:rsidP="00D901F1">
      <w:pPr>
        <w:pStyle w:val="ListParagraph"/>
        <w:numPr>
          <w:ilvl w:val="0"/>
          <w:numId w:val="45"/>
        </w:num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</w:pPr>
      <w:r w:rsidRPr="00D901F1"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t>B</w:t>
      </w:r>
      <w:r w:rsidR="001513C6" w:rsidRPr="00D901F1"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t>ackground</w:t>
      </w:r>
    </w:p>
    <w:p w:rsidR="001513C6" w:rsidRPr="001513C6" w:rsidRDefault="001513C6" w:rsidP="005956CF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 w:rsidRPr="001513C6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The policy is being adopted in compliance with Securities and Exchange Board of India (Listing Obligations and Disclosure Requirements) (second amendment) Regulations, 2016 [SEBI].</w:t>
      </w:r>
    </w:p>
    <w:p w:rsidR="001513C6" w:rsidRPr="00D901F1" w:rsidRDefault="001513C6" w:rsidP="00D901F1">
      <w:pPr>
        <w:pStyle w:val="ListParagraph"/>
        <w:numPr>
          <w:ilvl w:val="0"/>
          <w:numId w:val="45"/>
        </w:num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</w:pPr>
      <w:r w:rsidRPr="00D901F1"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t>Objective</w:t>
      </w:r>
    </w:p>
    <w:p w:rsidR="008F2903" w:rsidRDefault="008F2903" w:rsidP="001513C6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The objective of “this Policy” is to define the various factors affecting the dividend decision </w:t>
      </w:r>
      <w:proofErr w:type="spellStart"/>
      <w:proofErr w:type="gramStart"/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i.e</w:t>
      </w:r>
      <w:proofErr w:type="spellEnd"/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 :</w:t>
      </w:r>
      <w:proofErr w:type="gramEnd"/>
    </w:p>
    <w:p w:rsidR="008F2903" w:rsidRDefault="008F2903" w:rsidP="008F2903">
      <w:pPr>
        <w:pStyle w:val="ListParagraph"/>
        <w:numPr>
          <w:ilvl w:val="0"/>
          <w:numId w:val="44"/>
        </w:num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Defining the internal and external factors that shall be considered in the dividend decision</w:t>
      </w:r>
    </w:p>
    <w:p w:rsidR="008F2903" w:rsidRDefault="008F2903" w:rsidP="008F2903">
      <w:pPr>
        <w:pStyle w:val="ListParagraph"/>
        <w:numPr>
          <w:ilvl w:val="0"/>
          <w:numId w:val="44"/>
        </w:num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The financial parameters affecting the dividend decision</w:t>
      </w:r>
    </w:p>
    <w:p w:rsidR="008F2903" w:rsidRDefault="008F2903" w:rsidP="008F2903">
      <w:pPr>
        <w:pStyle w:val="ListParagraph"/>
        <w:numPr>
          <w:ilvl w:val="0"/>
          <w:numId w:val="44"/>
        </w:num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Policy regarding the utilization of retained earnings</w:t>
      </w:r>
    </w:p>
    <w:p w:rsidR="001513C6" w:rsidRPr="008F2903" w:rsidRDefault="008F2903" w:rsidP="008F2903">
      <w:pPr>
        <w:pStyle w:val="ListParagraph"/>
        <w:numPr>
          <w:ilvl w:val="0"/>
          <w:numId w:val="44"/>
        </w:num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The circumstances leading to the declaration of dividend or the lack of dividend.</w:t>
      </w:r>
    </w:p>
    <w:p w:rsidR="00FD6947" w:rsidRPr="008F2903" w:rsidRDefault="00D901F1" w:rsidP="001513C6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</w:pPr>
      <w:r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  <w:t xml:space="preserve">IV. </w:t>
      </w:r>
      <w:r w:rsidR="00FD6947" w:rsidRPr="008F2903"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  <w:t xml:space="preserve">PHILOSOPHY OF THE POLICY </w:t>
      </w:r>
    </w:p>
    <w:p w:rsidR="00FD6947" w:rsidRPr="008F2903" w:rsidRDefault="00FD6947" w:rsidP="001513C6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</w:pPr>
      <w:r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The Company </w:t>
      </w:r>
      <w:r w:rsidR="00B25C3F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strives</w:t>
      </w:r>
      <w:r w:rsidR="008F2903"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to enhance stakeholder value for its investors and </w:t>
      </w:r>
      <w:r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believes in the philosophy of maximization of shareholders’ wealth from</w:t>
      </w:r>
      <w:r w:rsidR="008F2903"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a</w:t>
      </w:r>
      <w:r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long term perspective. </w:t>
      </w:r>
      <w:r w:rsidR="008F2903"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The Company believes that returning cash to shareholders by way of dividends is one of the important components of overall shareholder value </w:t>
      </w:r>
      <w:proofErr w:type="gramStart"/>
      <w:r w:rsidR="008F2903"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creation .</w:t>
      </w:r>
      <w:proofErr w:type="gramEnd"/>
      <w:r w:rsidR="008F2903" w:rsidRPr="008F290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</w:t>
      </w:r>
    </w:p>
    <w:p w:rsidR="001513C6" w:rsidRPr="00D901F1" w:rsidRDefault="00D901F1" w:rsidP="00D901F1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</w:pPr>
      <w:r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  <w:lastRenderedPageBreak/>
        <w:t>V. P</w:t>
      </w:r>
      <w:r w:rsidR="00B25C3F" w:rsidRPr="00D901F1"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  <w:t xml:space="preserve">rinciples guiding Dividend Decision </w:t>
      </w:r>
    </w:p>
    <w:p w:rsidR="001513C6" w:rsidRDefault="001513C6" w:rsidP="001513C6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The </w:t>
      </w:r>
      <w:r w:rsidR="00B25C3F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Company </w:t>
      </w:r>
      <w:proofErr w:type="gramStart"/>
      <w:r w:rsidR="00B25C3F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would ,</w:t>
      </w:r>
      <w:proofErr w:type="gramEnd"/>
      <w:r w:rsidR="00B25C3F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 inter alia, consider the following financial parameters and / or internal and external factors while declaring or recommending dividend to the shareholders : </w:t>
      </w:r>
    </w:p>
    <w:p w:rsidR="001513C6" w:rsidRDefault="00B25C3F" w:rsidP="0028121E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 w:rsidRPr="00B25C3F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Reported</w:t>
      </w:r>
      <w:r>
        <w:rPr>
          <w:rFonts w:ascii="Verdana" w:eastAsia="Times New Roman" w:hAnsi="Verdana"/>
          <w:color w:val="FF0000"/>
          <w:kern w:val="36"/>
          <w:sz w:val="28"/>
          <w:szCs w:val="28"/>
          <w:lang w:val="en-US" w:eastAsia="ja-JP"/>
        </w:rPr>
        <w:t xml:space="preserve"> </w:t>
      </w:r>
      <w:r w:rsidR="001513C6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Net Profit after Tax (PAT) available for distribution in the financial statements prepared in accordance with prescribed </w:t>
      </w:r>
      <w:r w:rsidR="007945CF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accounting </w:t>
      </w:r>
      <w:r w:rsidR="001513C6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standards for the current period.</w:t>
      </w:r>
    </w:p>
    <w:p w:rsidR="00B25C3F" w:rsidRDefault="00B25C3F" w:rsidP="0028121E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Accumulated profits brought forward from prior years, available for dividend distribution, in accordance with the provisions of the Companies Act, 2013 </w:t>
      </w:r>
    </w:p>
    <w:p w:rsidR="001513C6" w:rsidRDefault="00B25C3F" w:rsidP="0028121E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Liquidity position and availability of </w:t>
      </w:r>
      <w:r w:rsidR="006B00C3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free cash flows</w:t>
      </w:r>
    </w:p>
    <w:p w:rsidR="0028121E" w:rsidRPr="0028121E" w:rsidRDefault="001513C6" w:rsidP="0028121E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Committed and projected cash flow needs </w:t>
      </w:r>
      <w:r w:rsidR="006B00C3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to finance </w:t>
      </w: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 forecasted capital expenditure, </w:t>
      </w:r>
      <w:r w:rsidR="006B00C3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network expansion, </w:t>
      </w: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working capital requirements </w:t>
      </w:r>
      <w:r w:rsidR="006B00C3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of the business, organic and inorganic growth opportunities</w:t>
      </w:r>
    </w:p>
    <w:p w:rsidR="0028121E" w:rsidRPr="006B00C3" w:rsidRDefault="006B00C3" w:rsidP="001369CD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 w:rsidRPr="006B00C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Optimal level of free cash to fund any emergencies in future </w:t>
      </w:r>
      <w:r w:rsidR="00B71001" w:rsidRPr="006B00C3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</w:t>
      </w:r>
    </w:p>
    <w:p w:rsidR="0028121E" w:rsidRDefault="006B00C3" w:rsidP="002341B4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Earnings stability and fluctuations in business cycles </w:t>
      </w:r>
    </w:p>
    <w:p w:rsidR="001D328B" w:rsidRPr="001D328B" w:rsidRDefault="006B00C3" w:rsidP="00C04277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Regularity and stability in dividend payment</w:t>
      </w:r>
    </w:p>
    <w:p w:rsidR="00194ABA" w:rsidRPr="00194ABA" w:rsidRDefault="001D328B" w:rsidP="003D7710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strike/>
          <w:color w:val="495A6E"/>
          <w:kern w:val="36"/>
          <w:sz w:val="28"/>
          <w:szCs w:val="28"/>
          <w:lang w:val="en-US" w:eastAsia="ja-JP"/>
        </w:rPr>
      </w:pPr>
      <w:r w:rsidRPr="006B00C3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Prevailing legal requirements, regulatory conditions or restrictions laid down under the applicable laws</w:t>
      </w:r>
      <w:r w:rsidR="006B00C3" w:rsidRPr="006B00C3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, taxation policy</w:t>
      </w:r>
    </w:p>
    <w:p w:rsidR="00194ABA" w:rsidRPr="00194ABA" w:rsidRDefault="00194ABA" w:rsidP="003D7710">
      <w:pPr>
        <w:pStyle w:val="ListParagraph"/>
        <w:numPr>
          <w:ilvl w:val="0"/>
          <w:numId w:val="41"/>
        </w:numPr>
        <w:shd w:val="clear" w:color="auto" w:fill="FFFFFF"/>
        <w:tabs>
          <w:tab w:val="left" w:pos="1110"/>
        </w:tabs>
        <w:spacing w:before="120" w:after="240" w:line="32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 w:rsidRPr="00194ABA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Contractual obligations / debt repayments, if any</w:t>
      </w:r>
    </w:p>
    <w:p w:rsidR="00B71001" w:rsidRPr="00194ABA" w:rsidRDefault="006B00C3" w:rsidP="00194ABA">
      <w:pPr>
        <w:shd w:val="clear" w:color="auto" w:fill="FFFFFF"/>
        <w:tabs>
          <w:tab w:val="left" w:pos="1110"/>
        </w:tabs>
        <w:spacing w:before="120" w:after="240" w:line="320" w:lineRule="atLeast"/>
        <w:ind w:left="360"/>
        <w:textAlignment w:val="baseline"/>
        <w:outlineLvl w:val="0"/>
        <w:rPr>
          <w:rFonts w:ascii="Verdana" w:eastAsia="Times New Roman" w:hAnsi="Verdana"/>
          <w:strike/>
          <w:color w:val="495A6E"/>
          <w:kern w:val="36"/>
          <w:sz w:val="28"/>
          <w:szCs w:val="28"/>
          <w:lang w:val="en-US" w:eastAsia="ja-JP"/>
        </w:rPr>
      </w:pPr>
      <w:r w:rsidRPr="00194ABA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 </w:t>
      </w:r>
    </w:p>
    <w:p w:rsidR="009054F3" w:rsidRDefault="00194ABA" w:rsidP="00194ABA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</w:pPr>
      <w:r w:rsidRPr="00194ABA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In case the Board proposes not to declare any dividend </w:t>
      </w:r>
      <w:r w:rsidR="009E5BC7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in</w:t>
      </w:r>
      <w:r w:rsidRPr="00194ABA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a particular </w:t>
      </w:r>
      <w:proofErr w:type="gramStart"/>
      <w:r w:rsidRPr="00194ABA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year ,</w:t>
      </w:r>
      <w:proofErr w:type="gramEnd"/>
      <w:r w:rsidRPr="00194ABA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the grounds thereof shall be disclosed by the Board to the shareholders in the Board Report forming part of the Annual Report of the Company for that year </w:t>
      </w:r>
    </w:p>
    <w:p w:rsidR="0028121E" w:rsidRPr="008F2903" w:rsidRDefault="009E5BC7" w:rsidP="009E5BC7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</w:pPr>
      <w:r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lastRenderedPageBreak/>
        <w:t xml:space="preserve">The Company, at present has only one class of shares referred to as equity shares of the face value of </w:t>
      </w:r>
      <w:proofErr w:type="spellStart"/>
      <w:r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Rs</w:t>
      </w:r>
      <w:proofErr w:type="spellEnd"/>
      <w:r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10 </w:t>
      </w:r>
      <w:proofErr w:type="gramStart"/>
      <w:r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each .</w:t>
      </w:r>
      <w:proofErr w:type="gramEnd"/>
      <w:r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The Company may, in future, issue any other class of shares in which case the dividends declared on such other class of shares shall be consistent with “this policy” and/or rights and privileges associated with such new issuances </w:t>
      </w:r>
    </w:p>
    <w:p w:rsidR="0028121E" w:rsidRPr="0028121E" w:rsidRDefault="00D901F1" w:rsidP="001513C6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</w:pPr>
      <w:r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t xml:space="preserve">VI. </w:t>
      </w:r>
      <w:r w:rsidR="00FD6947" w:rsidRPr="00FD6947"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t>Process for declaration of Dividend</w:t>
      </w:r>
    </w:p>
    <w:p w:rsidR="00FD6947" w:rsidRDefault="0028121E" w:rsidP="001513C6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The final dividend is declared at the Annual General Meeting of the shareholders on the basis of </w:t>
      </w:r>
      <w:r w:rsidR="007945CF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r</w:t>
      </w: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ecommendations of the Board. </w:t>
      </w:r>
    </w:p>
    <w:p w:rsidR="009054F3" w:rsidRPr="009054F3" w:rsidRDefault="0028121E" w:rsidP="00194ABA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The Board may, at its discretion, also declare an interim dividend. The interim dividend if any will be consider</w:t>
      </w:r>
      <w:r w:rsidR="00FA5CFF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ed</w:t>
      </w: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 based on the various para</w:t>
      </w:r>
      <w:r w:rsidR="00194ABA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meters mentioned in this policy</w:t>
      </w:r>
    </w:p>
    <w:p w:rsidR="00B30BCA" w:rsidRDefault="0028121E" w:rsidP="007945CF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>The Board may recommend special dividend as and wh</w:t>
      </w:r>
      <w:r w:rsidR="00306454">
        <w:rPr>
          <w:rFonts w:ascii="Verdana" w:eastAsia="Times New Roman" w:hAnsi="Verdana"/>
          <w:color w:val="495A6E"/>
          <w:kern w:val="36"/>
          <w:sz w:val="28"/>
          <w:szCs w:val="28"/>
          <w:lang w:val="en-US" w:eastAsia="ja-JP"/>
        </w:rPr>
        <w:t xml:space="preserve">en it deems fit. </w:t>
      </w:r>
    </w:p>
    <w:p w:rsidR="009054F3" w:rsidRPr="009E5BC7" w:rsidRDefault="00D901F1" w:rsidP="007945CF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</w:pPr>
      <w:r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  <w:t xml:space="preserve">VII. </w:t>
      </w:r>
      <w:r w:rsidR="009054F3" w:rsidRPr="009E5BC7"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  <w:t>Amendment</w:t>
      </w:r>
      <w:r w:rsidR="009E5BC7" w:rsidRPr="009E5BC7">
        <w:rPr>
          <w:rFonts w:ascii="Verdana" w:eastAsia="Times New Roman" w:hAnsi="Verdana"/>
          <w:b/>
          <w:color w:val="auto"/>
          <w:kern w:val="36"/>
          <w:sz w:val="36"/>
          <w:szCs w:val="36"/>
          <w:lang w:val="en-US" w:eastAsia="ja-JP"/>
        </w:rPr>
        <w:t>s to this Policy</w:t>
      </w:r>
    </w:p>
    <w:p w:rsidR="00B71001" w:rsidRPr="00465202" w:rsidRDefault="00B71001" w:rsidP="00B71001">
      <w:pPr>
        <w:shd w:val="clear" w:color="auto" w:fill="FFFFFF"/>
        <w:spacing w:line="240" w:lineRule="auto"/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</w:pPr>
      <w:r w:rsidRPr="00465202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The Board of Directors </w:t>
      </w:r>
      <w:r w:rsidR="00306454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will review this Policy as and when required and </w:t>
      </w:r>
      <w:r w:rsidRPr="00465202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can modify/amend the policy depending on business need and external environment.</w:t>
      </w:r>
    </w:p>
    <w:p w:rsidR="00B71001" w:rsidRPr="00465202" w:rsidRDefault="00B71001" w:rsidP="00B71001">
      <w:pPr>
        <w:shd w:val="clear" w:color="auto" w:fill="FFFFFF"/>
        <w:spacing w:line="240" w:lineRule="auto"/>
        <w:rPr>
          <w:rFonts w:ascii="Arial" w:hAnsi="Arial" w:cs="Arial"/>
          <w:color w:val="auto"/>
          <w:sz w:val="20"/>
          <w:szCs w:val="20"/>
          <w:lang w:eastAsia="ja-JP"/>
        </w:rPr>
      </w:pPr>
    </w:p>
    <w:p w:rsidR="00FD6947" w:rsidRPr="00465202" w:rsidRDefault="00FD6947" w:rsidP="00B71001">
      <w:pPr>
        <w:shd w:val="clear" w:color="auto" w:fill="FFFFFF"/>
        <w:tabs>
          <w:tab w:val="left" w:pos="1110"/>
        </w:tabs>
        <w:spacing w:after="300" w:line="240" w:lineRule="atLeast"/>
        <w:textAlignment w:val="baseline"/>
        <w:outlineLvl w:val="0"/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</w:pPr>
      <w:r w:rsidRPr="00465202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In case of any amendment(s), clarification(s), circular(s), notification(s), etc., issued by the relevant authorities, not being consistent with the provisions of this policy, such amendment(s), clarification(s), circular(s), etc. shall prevail </w:t>
      </w:r>
      <w:r w:rsidR="00465202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>over</w:t>
      </w:r>
      <w:r w:rsidRPr="00465202">
        <w:rPr>
          <w:rFonts w:ascii="Verdana" w:eastAsia="Times New Roman" w:hAnsi="Verdana"/>
          <w:color w:val="auto"/>
          <w:kern w:val="36"/>
          <w:sz w:val="28"/>
          <w:szCs w:val="28"/>
          <w:lang w:val="en-US" w:eastAsia="ja-JP"/>
        </w:rPr>
        <w:t xml:space="preserve"> the provisions of this policy.</w:t>
      </w:r>
    </w:p>
    <w:sectPr w:rsidR="00FD6947" w:rsidRPr="00465202" w:rsidSect="003946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1985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A8" w:rsidRDefault="00E75FA8" w:rsidP="00C2782C">
      <w:pPr>
        <w:spacing w:line="240" w:lineRule="auto"/>
      </w:pPr>
      <w:r>
        <w:separator/>
      </w:r>
    </w:p>
  </w:endnote>
  <w:endnote w:type="continuationSeparator" w:id="0">
    <w:p w:rsidR="00E75FA8" w:rsidRDefault="00E75FA8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32" w:rsidRPr="003946AC" w:rsidRDefault="00155232" w:rsidP="003946AC">
    <w:pPr>
      <w:pStyle w:val="Footer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DF731A">
      <w:rPr>
        <w:noProof/>
      </w:rPr>
      <w:t>2</w:t>
    </w:r>
    <w:r w:rsidRPr="003946AC">
      <w:fldChar w:fldCharType="end"/>
    </w:r>
    <w:r w:rsidRPr="003946AC">
      <w:t xml:space="preserve"> of </w:t>
    </w:r>
    <w:r w:rsidR="00E75FA8">
      <w:fldChar w:fldCharType="begin"/>
    </w:r>
    <w:r w:rsidR="00E75FA8">
      <w:instrText xml:space="preserve"> NUMPAGES  \* Arabic  \* MERGEFORMAT </w:instrText>
    </w:r>
    <w:r w:rsidR="00E75FA8">
      <w:fldChar w:fldCharType="separate"/>
    </w:r>
    <w:r w:rsidR="00DF731A">
      <w:rPr>
        <w:noProof/>
      </w:rPr>
      <w:t>4</w:t>
    </w:r>
    <w:r w:rsidR="00E75F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32" w:rsidRPr="003909F0" w:rsidRDefault="00AF3A41" w:rsidP="00D555EB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DF731A">
      <w:rPr>
        <w:noProof/>
      </w:rPr>
      <w:t>1</w:t>
    </w:r>
    <w:r w:rsidR="00D555EB">
      <w:fldChar w:fldCharType="end"/>
    </w:r>
    <w:r w:rsidR="00D555EB">
      <w:t xml:space="preserve"> of </w:t>
    </w:r>
    <w:r w:rsidR="00E75FA8">
      <w:fldChar w:fldCharType="begin"/>
    </w:r>
    <w:r w:rsidR="00E75FA8">
      <w:instrText xml:space="preserve"> NUMPAGES  \* Arabic  \* MERGEFORMAT </w:instrText>
    </w:r>
    <w:r w:rsidR="00E75FA8">
      <w:fldChar w:fldCharType="separate"/>
    </w:r>
    <w:r w:rsidR="00DF731A">
      <w:rPr>
        <w:noProof/>
      </w:rPr>
      <w:t>4</w:t>
    </w:r>
    <w:r w:rsidR="00E75F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A8" w:rsidRDefault="00E75FA8" w:rsidP="00C2782C">
      <w:pPr>
        <w:spacing w:line="240" w:lineRule="auto"/>
      </w:pPr>
      <w:r>
        <w:separator/>
      </w:r>
    </w:p>
  </w:footnote>
  <w:footnote w:type="continuationSeparator" w:id="0">
    <w:p w:rsidR="00E75FA8" w:rsidRDefault="00E75FA8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D2" w:rsidRDefault="002468D2" w:rsidP="002468D2">
    <w:pPr>
      <w:shd w:val="clear" w:color="auto" w:fill="FFFFFF"/>
      <w:spacing w:after="120" w:line="240" w:lineRule="atLeast"/>
      <w:textAlignment w:val="baseline"/>
      <w:outlineLvl w:val="0"/>
      <w:rPr>
        <w:rFonts w:ascii="Verdana" w:eastAsia="Times New Roman" w:hAnsi="Verdana"/>
        <w:color w:val="495A6E"/>
        <w:kern w:val="36"/>
        <w:sz w:val="36"/>
        <w:szCs w:val="36"/>
        <w:lang w:val="en-US" w:eastAsia="ja-JP"/>
      </w:rPr>
    </w:pPr>
    <w:r w:rsidRPr="001513C6">
      <w:rPr>
        <w:rFonts w:ascii="Verdana" w:eastAsia="Times New Roman" w:hAnsi="Verdana"/>
        <w:color w:val="495A6E"/>
        <w:kern w:val="36"/>
        <w:sz w:val="36"/>
        <w:szCs w:val="36"/>
        <w:lang w:val="en-US" w:eastAsia="ja-JP"/>
      </w:rPr>
      <w:t>SKF India Limited</w:t>
    </w:r>
  </w:p>
  <w:p w:rsidR="00155232" w:rsidRDefault="00E75FA8" w:rsidP="002468D2">
    <w:pPr>
      <w:pStyle w:val="Header"/>
      <w:jc w:val="center"/>
    </w:pPr>
    <w:sdt>
      <w:sdtPr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alias w:val="Document title"/>
        <w:tag w:val="Title"/>
        <w:id w:val="-1651279560"/>
        <w:text/>
      </w:sdtPr>
      <w:sdtEndPr/>
      <w:sdtContent>
        <w:r w:rsidR="002468D2" w:rsidRPr="001513C6">
          <w:rPr>
            <w:rFonts w:ascii="Verdana" w:eastAsia="Times New Roman" w:hAnsi="Verdana"/>
            <w:b/>
            <w:color w:val="495A6E"/>
            <w:kern w:val="36"/>
            <w:sz w:val="36"/>
            <w:szCs w:val="36"/>
            <w:lang w:val="en-US" w:eastAsia="ja-JP"/>
          </w:rPr>
          <w:t>Dividend Distribution Policy</w:t>
        </w:r>
      </w:sdtContent>
    </w:sdt>
    <w:r w:rsidR="002468D2">
      <w:t xml:space="preserve"> </w:t>
    </w:r>
    <w:sdt>
      <w:sdtPr>
        <w:alias w:val="Document title"/>
        <w:tag w:val="Title"/>
        <w:id w:val="2007160509"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2A9F8B73" wp14:editId="45B575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68D2" w:rsidRDefault="00337CBB" w:rsidP="002468D2">
    <w:pPr>
      <w:pStyle w:val="Header"/>
      <w:jc w:val="center"/>
      <w:rPr>
        <w:sz w:val="28"/>
        <w:szCs w:val="28"/>
      </w:rPr>
    </w:pPr>
    <w:r>
      <w:rPr>
        <w:rFonts w:ascii="Verdana" w:eastAsia="Times New Roman" w:hAnsi="Verdana"/>
        <w:color w:val="495A6E"/>
        <w:kern w:val="36"/>
        <w:sz w:val="28"/>
        <w:szCs w:val="28"/>
        <w:lang w:val="en-US" w:eastAsia="ja-JP"/>
      </w:rPr>
      <w:t>February</w:t>
    </w:r>
    <w:r w:rsidR="002468D2" w:rsidRPr="001513C6">
      <w:rPr>
        <w:rFonts w:ascii="Verdana" w:eastAsia="Times New Roman" w:hAnsi="Verdana"/>
        <w:color w:val="495A6E"/>
        <w:kern w:val="36"/>
        <w:sz w:val="28"/>
        <w:szCs w:val="28"/>
        <w:lang w:val="en-US" w:eastAsia="ja-JP"/>
      </w:rPr>
      <w:t xml:space="preserve"> 2017</w:t>
    </w:r>
  </w:p>
  <w:p w:rsidR="002468D2" w:rsidRPr="002468D2" w:rsidRDefault="002468D2" w:rsidP="002468D2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C6" w:rsidRDefault="001513C6" w:rsidP="001513C6">
    <w:pPr>
      <w:shd w:val="clear" w:color="auto" w:fill="FFFFFF"/>
      <w:spacing w:after="120" w:line="240" w:lineRule="atLeast"/>
      <w:textAlignment w:val="baseline"/>
      <w:outlineLvl w:val="0"/>
      <w:rPr>
        <w:rFonts w:ascii="Verdana" w:eastAsia="Times New Roman" w:hAnsi="Verdana"/>
        <w:color w:val="495A6E"/>
        <w:kern w:val="36"/>
        <w:sz w:val="36"/>
        <w:szCs w:val="36"/>
        <w:lang w:val="en-US" w:eastAsia="ja-JP"/>
      </w:rPr>
    </w:pPr>
    <w:r w:rsidRPr="001513C6">
      <w:rPr>
        <w:rFonts w:ascii="Verdana" w:eastAsia="Times New Roman" w:hAnsi="Verdana"/>
        <w:color w:val="495A6E"/>
        <w:kern w:val="36"/>
        <w:sz w:val="36"/>
        <w:szCs w:val="36"/>
        <w:lang w:val="en-US" w:eastAsia="ja-JP"/>
      </w:rPr>
      <w:t>SKF India Limited</w:t>
    </w:r>
  </w:p>
  <w:p w:rsidR="00155232" w:rsidRDefault="00E75FA8" w:rsidP="001513C6">
    <w:pPr>
      <w:pStyle w:val="Header"/>
      <w:jc w:val="center"/>
      <w:rPr>
        <w:rFonts w:ascii="Verdana" w:eastAsia="Times New Roman" w:hAnsi="Verdana"/>
        <w:b/>
        <w:color w:val="495A6E"/>
        <w:kern w:val="36"/>
        <w:sz w:val="36"/>
        <w:szCs w:val="36"/>
        <w:lang w:val="en-US" w:eastAsia="ja-JP"/>
      </w:rPr>
    </w:pPr>
    <w:sdt>
      <w:sdtPr>
        <w:rPr>
          <w:rFonts w:ascii="Verdana" w:eastAsia="Times New Roman" w:hAnsi="Verdana"/>
          <w:b/>
          <w:color w:val="495A6E"/>
          <w:kern w:val="36"/>
          <w:sz w:val="36"/>
          <w:szCs w:val="36"/>
          <w:lang w:val="en-US" w:eastAsia="ja-JP"/>
        </w:rPr>
        <w:alias w:val="Document title"/>
        <w:tag w:val="Title"/>
        <w:id w:val="1952206392"/>
        <w:text/>
      </w:sdtPr>
      <w:sdtEndPr/>
      <w:sdtContent>
        <w:r w:rsidR="001513C6" w:rsidRPr="001513C6">
          <w:rPr>
            <w:rFonts w:ascii="Verdana" w:eastAsia="Times New Roman" w:hAnsi="Verdana"/>
            <w:b/>
            <w:color w:val="495A6E"/>
            <w:kern w:val="36"/>
            <w:sz w:val="36"/>
            <w:szCs w:val="36"/>
            <w:lang w:val="en-US" w:eastAsia="ja-JP"/>
          </w:rPr>
          <w:t>Dividend Distribution Policy</w:t>
        </w:r>
      </w:sdtContent>
    </w:sdt>
    <w:r w:rsidR="00155232"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44DE7E6B" wp14:editId="26A496A8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13C6" w:rsidRPr="001513C6" w:rsidRDefault="00337CBB" w:rsidP="001513C6">
    <w:pPr>
      <w:pStyle w:val="Header"/>
      <w:jc w:val="center"/>
      <w:rPr>
        <w:sz w:val="28"/>
        <w:szCs w:val="28"/>
      </w:rPr>
    </w:pPr>
    <w:r>
      <w:rPr>
        <w:rFonts w:ascii="Verdana" w:eastAsia="Times New Roman" w:hAnsi="Verdana"/>
        <w:color w:val="495A6E"/>
        <w:kern w:val="36"/>
        <w:sz w:val="28"/>
        <w:szCs w:val="28"/>
        <w:lang w:val="en-US" w:eastAsia="ja-JP"/>
      </w:rPr>
      <w:t>February</w:t>
    </w:r>
    <w:r w:rsidR="001513C6" w:rsidRPr="001513C6">
      <w:rPr>
        <w:rFonts w:ascii="Verdana" w:eastAsia="Times New Roman" w:hAnsi="Verdana"/>
        <w:color w:val="495A6E"/>
        <w:kern w:val="36"/>
        <w:sz w:val="28"/>
        <w:szCs w:val="28"/>
        <w:lang w:val="en-US" w:eastAsia="ja-JP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7075"/>
    <w:multiLevelType w:val="hybridMultilevel"/>
    <w:tmpl w:val="6C0808FA"/>
    <w:lvl w:ilvl="0" w:tplc="AF12B074">
      <w:start w:val="1"/>
      <w:numFmt w:val="decimal"/>
      <w:lvlText w:val="%1.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F07A0"/>
    <w:multiLevelType w:val="hybridMultilevel"/>
    <w:tmpl w:val="D5B2B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A0194"/>
    <w:multiLevelType w:val="multilevel"/>
    <w:tmpl w:val="8DF2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8F4801"/>
    <w:multiLevelType w:val="hybridMultilevel"/>
    <w:tmpl w:val="28408C4C"/>
    <w:lvl w:ilvl="0" w:tplc="A22E298C">
      <w:start w:val="1"/>
      <w:numFmt w:val="upperRoman"/>
      <w:lvlText w:val="%1."/>
      <w:lvlJc w:val="left"/>
      <w:pPr>
        <w:ind w:left="1440" w:hanging="108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6">
    <w:nsid w:val="555E2DF6"/>
    <w:multiLevelType w:val="hybridMultilevel"/>
    <w:tmpl w:val="4EA809D4"/>
    <w:lvl w:ilvl="0" w:tplc="4BA8FC7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B6124"/>
    <w:multiLevelType w:val="hybridMultilevel"/>
    <w:tmpl w:val="3C2A6AAC"/>
    <w:lvl w:ilvl="0" w:tplc="820A2C84">
      <w:start w:val="22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5"/>
  </w:num>
  <w:num w:numId="5">
    <w:abstractNumId w:val="6"/>
  </w:num>
  <w:num w:numId="6">
    <w:abstractNumId w:val="15"/>
  </w:num>
  <w:num w:numId="7">
    <w:abstractNumId w:val="5"/>
  </w:num>
  <w:num w:numId="8">
    <w:abstractNumId w:val="15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3"/>
  </w:num>
  <w:num w:numId="14">
    <w:abstractNumId w:val="13"/>
  </w:num>
  <w:num w:numId="15">
    <w:abstractNumId w:val="2"/>
  </w:num>
  <w:num w:numId="16">
    <w:abstractNumId w:val="13"/>
  </w:num>
  <w:num w:numId="17">
    <w:abstractNumId w:val="1"/>
  </w:num>
  <w:num w:numId="18">
    <w:abstractNumId w:val="13"/>
  </w:num>
  <w:num w:numId="19">
    <w:abstractNumId w:val="0"/>
  </w:num>
  <w:num w:numId="20">
    <w:abstractNumId w:val="13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0"/>
  </w:num>
  <w:num w:numId="42">
    <w:abstractNumId w:val="14"/>
  </w:num>
  <w:num w:numId="43">
    <w:abstractNumId w:val="12"/>
    <w:lvlOverride w:ilvl="0">
      <w:lvl w:ilvl="0">
        <w:numFmt w:val="lowerLetter"/>
        <w:lvlText w:val="%1."/>
        <w:lvlJc w:val="left"/>
      </w:lvl>
    </w:lvlOverride>
  </w:num>
  <w:num w:numId="44">
    <w:abstractNumId w:val="11"/>
  </w:num>
  <w:num w:numId="45">
    <w:abstractNumId w:val="1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CF"/>
    <w:rsid w:val="000016A5"/>
    <w:rsid w:val="0001146E"/>
    <w:rsid w:val="00015582"/>
    <w:rsid w:val="000539C2"/>
    <w:rsid w:val="000607A7"/>
    <w:rsid w:val="00081EFB"/>
    <w:rsid w:val="00084CB7"/>
    <w:rsid w:val="00091249"/>
    <w:rsid w:val="000E1D06"/>
    <w:rsid w:val="00103659"/>
    <w:rsid w:val="00127E6E"/>
    <w:rsid w:val="001513C6"/>
    <w:rsid w:val="00154894"/>
    <w:rsid w:val="00155232"/>
    <w:rsid w:val="001871A8"/>
    <w:rsid w:val="00194ABA"/>
    <w:rsid w:val="001B6398"/>
    <w:rsid w:val="001C5824"/>
    <w:rsid w:val="001D328B"/>
    <w:rsid w:val="001E38DD"/>
    <w:rsid w:val="00206729"/>
    <w:rsid w:val="00215E6F"/>
    <w:rsid w:val="00244B40"/>
    <w:rsid w:val="002468D2"/>
    <w:rsid w:val="0028121E"/>
    <w:rsid w:val="00293C26"/>
    <w:rsid w:val="00295CBD"/>
    <w:rsid w:val="002A5E23"/>
    <w:rsid w:val="002D5108"/>
    <w:rsid w:val="002F2238"/>
    <w:rsid w:val="00303ADC"/>
    <w:rsid w:val="00305CC8"/>
    <w:rsid w:val="00306454"/>
    <w:rsid w:val="00322309"/>
    <w:rsid w:val="00324CCD"/>
    <w:rsid w:val="00335988"/>
    <w:rsid w:val="0033797E"/>
    <w:rsid w:val="00337CBB"/>
    <w:rsid w:val="00381711"/>
    <w:rsid w:val="003909F0"/>
    <w:rsid w:val="003946AC"/>
    <w:rsid w:val="003A282F"/>
    <w:rsid w:val="003B72D1"/>
    <w:rsid w:val="003C1C03"/>
    <w:rsid w:val="003D0D8F"/>
    <w:rsid w:val="003E35DA"/>
    <w:rsid w:val="00413F11"/>
    <w:rsid w:val="00432956"/>
    <w:rsid w:val="00441720"/>
    <w:rsid w:val="00461D41"/>
    <w:rsid w:val="00465202"/>
    <w:rsid w:val="0048451E"/>
    <w:rsid w:val="00490EB5"/>
    <w:rsid w:val="004C2D67"/>
    <w:rsid w:val="00512503"/>
    <w:rsid w:val="005410F1"/>
    <w:rsid w:val="00561FF4"/>
    <w:rsid w:val="005927A4"/>
    <w:rsid w:val="00593B43"/>
    <w:rsid w:val="005956CF"/>
    <w:rsid w:val="005D68BF"/>
    <w:rsid w:val="005F4759"/>
    <w:rsid w:val="00601E6C"/>
    <w:rsid w:val="00614E07"/>
    <w:rsid w:val="00626823"/>
    <w:rsid w:val="006335C3"/>
    <w:rsid w:val="006421A5"/>
    <w:rsid w:val="006460CD"/>
    <w:rsid w:val="00652648"/>
    <w:rsid w:val="00656E6B"/>
    <w:rsid w:val="0066406F"/>
    <w:rsid w:val="006B00C3"/>
    <w:rsid w:val="006B5CF3"/>
    <w:rsid w:val="006C6F30"/>
    <w:rsid w:val="006D28A0"/>
    <w:rsid w:val="006D34B3"/>
    <w:rsid w:val="00744F8A"/>
    <w:rsid w:val="00763B01"/>
    <w:rsid w:val="00772630"/>
    <w:rsid w:val="00777D59"/>
    <w:rsid w:val="007945CF"/>
    <w:rsid w:val="007E47E5"/>
    <w:rsid w:val="007E5207"/>
    <w:rsid w:val="007F5C18"/>
    <w:rsid w:val="008022C1"/>
    <w:rsid w:val="00831803"/>
    <w:rsid w:val="008C40DC"/>
    <w:rsid w:val="008C7BB8"/>
    <w:rsid w:val="008D1902"/>
    <w:rsid w:val="008F2903"/>
    <w:rsid w:val="0090006F"/>
    <w:rsid w:val="009054F3"/>
    <w:rsid w:val="00962D69"/>
    <w:rsid w:val="00975699"/>
    <w:rsid w:val="00976B0C"/>
    <w:rsid w:val="009902CF"/>
    <w:rsid w:val="009B4A99"/>
    <w:rsid w:val="009B66F9"/>
    <w:rsid w:val="009C0B1D"/>
    <w:rsid w:val="009C431E"/>
    <w:rsid w:val="009E2E6E"/>
    <w:rsid w:val="009E5BC7"/>
    <w:rsid w:val="009F5B61"/>
    <w:rsid w:val="00A30109"/>
    <w:rsid w:val="00A37036"/>
    <w:rsid w:val="00A74E1F"/>
    <w:rsid w:val="00A96E8D"/>
    <w:rsid w:val="00AC619B"/>
    <w:rsid w:val="00AE65DE"/>
    <w:rsid w:val="00AE750C"/>
    <w:rsid w:val="00AF3A41"/>
    <w:rsid w:val="00B03DCC"/>
    <w:rsid w:val="00B2389B"/>
    <w:rsid w:val="00B25C3F"/>
    <w:rsid w:val="00B30BCA"/>
    <w:rsid w:val="00B3259D"/>
    <w:rsid w:val="00B33F60"/>
    <w:rsid w:val="00B71001"/>
    <w:rsid w:val="00B8494C"/>
    <w:rsid w:val="00BA3D42"/>
    <w:rsid w:val="00BD7F58"/>
    <w:rsid w:val="00C2782C"/>
    <w:rsid w:val="00C337E1"/>
    <w:rsid w:val="00C36257"/>
    <w:rsid w:val="00C36E27"/>
    <w:rsid w:val="00C711C9"/>
    <w:rsid w:val="00C86FA2"/>
    <w:rsid w:val="00CE0DB4"/>
    <w:rsid w:val="00D16B1D"/>
    <w:rsid w:val="00D16F0A"/>
    <w:rsid w:val="00D24111"/>
    <w:rsid w:val="00D37803"/>
    <w:rsid w:val="00D555EB"/>
    <w:rsid w:val="00D76D11"/>
    <w:rsid w:val="00D83553"/>
    <w:rsid w:val="00D901F1"/>
    <w:rsid w:val="00D96070"/>
    <w:rsid w:val="00DE12E5"/>
    <w:rsid w:val="00DF731A"/>
    <w:rsid w:val="00E12E6A"/>
    <w:rsid w:val="00E14D55"/>
    <w:rsid w:val="00E25267"/>
    <w:rsid w:val="00E33C12"/>
    <w:rsid w:val="00E75FA8"/>
    <w:rsid w:val="00E95DA7"/>
    <w:rsid w:val="00EF5335"/>
    <w:rsid w:val="00F06AE9"/>
    <w:rsid w:val="00F077FB"/>
    <w:rsid w:val="00F210E4"/>
    <w:rsid w:val="00F2377B"/>
    <w:rsid w:val="00F623D4"/>
    <w:rsid w:val="00FA433D"/>
    <w:rsid w:val="00FA5CFF"/>
    <w:rsid w:val="00FD694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2" w:qFormat="1"/>
    <w:lsdException w:name="List Number" w:uiPriority="3" w:qFormat="1"/>
    <w:lsdException w:name="List Bullet 2" w:uiPriority="2" w:qFormat="1"/>
    <w:lsdException w:name="List Bullet 3" w:uiPriority="2" w:qFormat="1"/>
    <w:lsdException w:name="List Bullet 4" w:uiPriority="0"/>
    <w:lsdException w:name="List Bullet 5" w:uiPriority="0"/>
    <w:lsdException w:name="List Number 2" w:uiPriority="3" w:qFormat="1"/>
    <w:lsdException w:name="List Number 3" w:uiPriority="3" w:qFormat="1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69"/>
    <w:pPr>
      <w:spacing w:after="0" w:line="271" w:lineRule="auto"/>
    </w:pPr>
    <w:rPr>
      <w:rFonts w:cs="Times New Roman"/>
      <w:color w:val="000000" w:themeColor="text1"/>
      <w:sz w:val="21"/>
      <w:szCs w:val="19"/>
      <w:lang w:eastAsia="sv-SE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2D69"/>
    <w:rPr>
      <w:sz w:val="44"/>
    </w:rPr>
  </w:style>
  <w:style w:type="character" w:customStyle="1" w:styleId="HeaderChar">
    <w:name w:val="Header Char"/>
    <w:basedOn w:val="DefaultParagraphFont"/>
    <w:link w:val="Header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val="sv-SE"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13C6"/>
  </w:style>
  <w:style w:type="character" w:customStyle="1" w:styleId="DateChar">
    <w:name w:val="Date Char"/>
    <w:basedOn w:val="DefaultParagraphFont"/>
    <w:link w:val="Date"/>
    <w:uiPriority w:val="99"/>
    <w:semiHidden/>
    <w:rsid w:val="001513C6"/>
    <w:rPr>
      <w:rFonts w:cs="Times New Roman"/>
      <w:color w:val="000000" w:themeColor="text1"/>
      <w:sz w:val="21"/>
      <w:szCs w:val="19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2" w:qFormat="1"/>
    <w:lsdException w:name="List Number" w:uiPriority="3" w:qFormat="1"/>
    <w:lsdException w:name="List Bullet 2" w:uiPriority="2" w:qFormat="1"/>
    <w:lsdException w:name="List Bullet 3" w:uiPriority="2" w:qFormat="1"/>
    <w:lsdException w:name="List Bullet 4" w:uiPriority="0"/>
    <w:lsdException w:name="List Bullet 5" w:uiPriority="0"/>
    <w:lsdException w:name="List Number 2" w:uiPriority="3" w:qFormat="1"/>
    <w:lsdException w:name="List Number 3" w:uiPriority="3" w:qFormat="1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69"/>
    <w:pPr>
      <w:spacing w:after="0" w:line="271" w:lineRule="auto"/>
    </w:pPr>
    <w:rPr>
      <w:rFonts w:cs="Times New Roman"/>
      <w:color w:val="000000" w:themeColor="text1"/>
      <w:sz w:val="21"/>
      <w:szCs w:val="19"/>
      <w:lang w:eastAsia="sv-SE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2D69"/>
    <w:rPr>
      <w:sz w:val="44"/>
    </w:rPr>
  </w:style>
  <w:style w:type="character" w:customStyle="1" w:styleId="HeaderChar">
    <w:name w:val="Header Char"/>
    <w:basedOn w:val="DefaultParagraphFont"/>
    <w:link w:val="Header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val="sv-SE"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13C6"/>
  </w:style>
  <w:style w:type="character" w:customStyle="1" w:styleId="DateChar">
    <w:name w:val="Date Char"/>
    <w:basedOn w:val="DefaultParagraphFont"/>
    <w:link w:val="Date"/>
    <w:uiPriority w:val="99"/>
    <w:semiHidden/>
    <w:rsid w:val="001513C6"/>
    <w:rPr>
      <w:rFonts w:cs="Times New Roman"/>
      <w:color w:val="000000" w:themeColor="text1"/>
      <w:sz w:val="21"/>
      <w:szCs w:val="19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"/>
      </a:majorFont>
      <a:minorFont>
        <a:latin typeface="Arial"/>
        <a:ea typeface="ST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SKF Colour 2016" id="{E0006A60-9BA8-4AA6-B120-86FAC3B7A86E}" vid="{41CCB3ED-7247-4F91-AE34-A4854663C94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Bhandari</dc:creator>
  <cp:lastModifiedBy>Juhi Thakur</cp:lastModifiedBy>
  <cp:revision>2</cp:revision>
  <dcterms:created xsi:type="dcterms:W3CDTF">2017-07-10T10:27:00Z</dcterms:created>
  <dcterms:modified xsi:type="dcterms:W3CDTF">2017-07-10T10:27:00Z</dcterms:modified>
</cp:coreProperties>
</file>